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In Siêu Tốc</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in siêu tốc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in siêu tốc A4 Riso EZ221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21.000.000</w:t>
            </w:r>
          </w:p>
        </w:tc>
        <w:tc>
          <w:tcPr>
            <w:tcW w:w="0" w:type="auto"/>
            <w:vAlign w:val="center"/>
          </w:tcPr>
          <w:p w14:paraId="766BF796" w14:textId="40ECC2E6" w:rsidRDefault="00CF332E" w:rsidP="00895445">
            <w:pPr>
              <w:rPr>
                <w:rFonts w:cs="Times New Roman"/>
                <w:szCs w:val="26"/>
              </w:rPr>
            </w:pPr>
            <w:r>
              <w:rPr>
                <w:rFonts w:cs="Times New Roman"/>
                <w:szCs w:val="26"/>
              </w:rPr>
              <w:t>6 tháng hoặc 100 ngàn bản in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in siêu tốc A3 Riso EZ390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33.000.000</w:t>
            </w:r>
          </w:p>
        </w:tc>
        <w:tc>
          <w:tcPr>
            <w:tcW w:w="0" w:type="auto"/>
            <w:vAlign w:val="center"/>
          </w:tcPr>
          <w:p w14:paraId="766BF796" w14:textId="40ECC2E6" w:rsidRDefault="00CF332E" w:rsidP="00895445">
            <w:pPr>
              <w:rPr>
                <w:rFonts w:cs="Times New Roman"/>
                <w:szCs w:val="26"/>
              </w:rPr>
            </w:pPr>
            <w:r>
              <w:rPr>
                <w:rFonts w:cs="Times New Roman"/>
                <w:szCs w:val="26"/>
              </w:rPr>
              <w:t>6 tháng hoặc 100 ngàn bản in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in siêu tốc A3 Riso RZ390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32.000.000</w:t>
            </w:r>
          </w:p>
        </w:tc>
        <w:tc>
          <w:tcPr>
            <w:tcW w:w="0" w:type="auto"/>
            <w:vAlign w:val="center"/>
          </w:tcPr>
          <w:p w14:paraId="766BF796" w14:textId="40ECC2E6" w:rsidRDefault="00CF332E" w:rsidP="00895445">
            <w:pPr>
              <w:rPr>
                <w:rFonts w:cs="Times New Roman"/>
                <w:szCs w:val="26"/>
              </w:rPr>
            </w:pPr>
            <w:r>
              <w:rPr>
                <w:rFonts w:cs="Times New Roman"/>
                <w:szCs w:val="26"/>
              </w:rPr>
              <w:t>6 tháng hoặc 100 ngàn bản in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in siêu tốc A4 Riso EZ220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18.500.000</w:t>
            </w:r>
          </w:p>
        </w:tc>
        <w:tc>
          <w:tcPr>
            <w:tcW w:w="0" w:type="auto"/>
            <w:vAlign w:val="center"/>
          </w:tcPr>
          <w:p w14:paraId="766BF796" w14:textId="40ECC2E6" w:rsidRDefault="00CF332E" w:rsidP="00895445">
            <w:pPr>
              <w:rPr>
                <w:rFonts w:cs="Times New Roman"/>
                <w:szCs w:val="26"/>
              </w:rPr>
            </w:pPr>
            <w:r>
              <w:rPr>
                <w:rFonts w:cs="Times New Roman"/>
                <w:szCs w:val="26"/>
              </w:rPr>
              <w:t>6 tháng hoặc 100 ngàn bản in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in siêu tốc Ricoh DD3344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 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in siêu tốc Ricoh DX 3443</w:t>
            </w:r>
          </w:p>
        </w:tc>
        <w:tc>
          <w:tcPr>
            <w:tcW w:w="0" w:type="auto"/>
            <w:vAlign w:val="center"/>
          </w:tcPr>
          <w:p w14:paraId="36D914FE" w14:textId="3012C7A5" w:rsidRDefault="00084BFD" w:rsidP="006577CE">
            <w:pPr>
              <w:jc w:val="center"/>
              <w:rPr>
                <w:rFonts w:cs="Times New Roman"/>
                <w:szCs w:val="26"/>
              </w:rPr>
            </w:pPr>
            <w:r>
              <w:rPr>
                <w:rFonts w:cs="Times New Roman"/>
                <w:szCs w:val="26"/>
              </w:rPr>
              <w:t>46.000.000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in siêu tốc Ricoh Priport DX 2430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1.000.000 bản chụp</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9/4/2025,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