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Màu Sindoh</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màu Sindoh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màu Sindoh D330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màu Sindoh D332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85.000.000</w:t>
            </w:r>
          </w:p>
        </w:tc>
        <w:tc>
          <w:tcPr>
            <w:tcW w:w="0" w:type="auto"/>
            <w:vAlign w:val="center"/>
          </w:tcPr>
          <w:p w14:paraId="766BF796" w14:textId="40ECC2E6" w:rsidRDefault="00CF332E" w:rsidP="00895445">
            <w:pPr>
              <w:rPr>
                <w:rFonts w:cs="Times New Roman"/>
                <w:szCs w:val="26"/>
              </w:rPr>
            </w:pPr>
            <w:r>
              <w:rPr>
                <w:rFonts w:cs="Times New Roman"/>
                <w:szCs w:val="26"/>
              </w:rPr>
              <w:t>12 tháng theo tiêu chuẩn nhà sản xuất</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12/5/2025,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