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Tân Trang</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tân trang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 Hàng trưng bày ( Sản phẩm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Ricoh MP 7502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5054SP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MP5054 -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cho máy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6054 -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Fuji Xerox ApeosPort IV 5070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Fuji Xerox ApeosPort IV 4070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Fuji Xerox DC IV3065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22.000.000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Konica Minolta 558e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Ricoh MP4054</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24 tháng cho máy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Ricoh MP5055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6002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10/12/2024,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